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977A">
      <w:pPr>
        <w:spacing w:after="105" w:line="500" w:lineRule="auto"/>
        <w:rPr>
          <w:rFonts w:ascii="仿宋" w:hAnsi="仿宋" w:eastAsia="仿宋" w:cs="仿宋"/>
          <w:color w:val="333333"/>
          <w:sz w:val="28"/>
          <w:shd w:val="clear" w:color="auto" w:fill="FFFFFF"/>
        </w:rPr>
      </w:pPr>
    </w:p>
    <w:p w14:paraId="038CF351">
      <w:pPr>
        <w:spacing w:after="105" w:line="500" w:lineRule="auto"/>
        <w:rPr>
          <w:rFonts w:hint="eastAsia" w:ascii="仿宋" w:hAnsi="仿宋" w:eastAsia="仿宋" w:cs="仿宋"/>
          <w:color w:val="333333"/>
          <w:sz w:val="28"/>
          <w:shd w:val="clear" w:color="auto" w:fill="FFFFFF"/>
          <w:lang w:val="en-US" w:eastAsia="zh-CN"/>
        </w:rPr>
      </w:pPr>
      <w:r>
        <w:rPr>
          <w:rFonts w:ascii="仿宋" w:hAnsi="仿宋" w:eastAsia="仿宋" w:cs="仿宋"/>
          <w:color w:val="333333"/>
          <w:sz w:val="28"/>
          <w:shd w:val="clear" w:color="auto" w:fill="FFFFFF"/>
        </w:rPr>
        <w:t>附件</w:t>
      </w:r>
      <w:r>
        <w:rPr>
          <w:rFonts w:hint="eastAsia" w:ascii="仿宋" w:hAnsi="仿宋" w:eastAsia="仿宋" w:cs="仿宋"/>
          <w:color w:val="333333"/>
          <w:sz w:val="28"/>
          <w:shd w:val="clear" w:color="auto" w:fill="FFFFFF"/>
          <w:lang w:val="en-US" w:eastAsia="zh-CN"/>
        </w:rPr>
        <w:t>1：</w:t>
      </w:r>
    </w:p>
    <w:p w14:paraId="30BFA594">
      <w:pPr>
        <w:spacing w:after="105" w:line="500" w:lineRule="auto"/>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（一）法定代表人身份证明书</w:t>
      </w:r>
    </w:p>
    <w:p w14:paraId="28211E8C">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公司</w:t>
      </w:r>
      <w:r>
        <w:rPr>
          <w:rFonts w:ascii="仿宋" w:hAnsi="仿宋" w:eastAsia="仿宋" w:cs="仿宋"/>
          <w:color w:val="333333"/>
          <w:sz w:val="28"/>
          <w:shd w:val="clear" w:color="auto" w:fill="FFFFFF"/>
        </w:rPr>
        <w:t>名称：</w:t>
      </w:r>
    </w:p>
    <w:p w14:paraId="14FF6DCB">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地     址：    </w:t>
      </w:r>
    </w:p>
    <w:p w14:paraId="3A90EC9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成立时间：    年    月   日</w:t>
      </w:r>
    </w:p>
    <w:p w14:paraId="566FEE05">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经营期限：</w:t>
      </w:r>
    </w:p>
    <w:p w14:paraId="091AF32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姓名：        性别：      年龄：     职务：     </w:t>
      </w:r>
    </w:p>
    <w:p w14:paraId="302407E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ascii="仿宋" w:hAnsi="仿宋" w:eastAsia="仿宋" w:cs="仿宋"/>
          <w:color w:val="333333"/>
          <w:sz w:val="28"/>
          <w:shd w:val="clear" w:color="auto" w:fill="FFFFFF"/>
        </w:rPr>
        <w:t>（单位名称）的法定代表人。</w:t>
      </w:r>
    </w:p>
    <w:p w14:paraId="2449126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特此证明。</w:t>
      </w:r>
    </w:p>
    <w:p w14:paraId="2C59EDDA">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申请人：</w:t>
      </w:r>
      <w:r>
        <w:rPr>
          <w:rFonts w:ascii="仿宋" w:hAnsi="仿宋" w:eastAsia="仿宋" w:cs="仿宋"/>
          <w:color w:val="333333"/>
          <w:sz w:val="28"/>
          <w:u w:val="single"/>
          <w:shd w:val="clear" w:color="auto" w:fill="FFFFFF"/>
        </w:rPr>
        <w:t xml:space="preserve">        </w:t>
      </w:r>
      <w:r>
        <w:rPr>
          <w:rFonts w:ascii="仿宋" w:hAnsi="仿宋" w:eastAsia="仿宋" w:cs="仿宋"/>
          <w:color w:val="333333"/>
          <w:sz w:val="28"/>
          <w:shd w:val="clear" w:color="auto" w:fill="FFFFFF"/>
        </w:rPr>
        <w:t>（盖单位章）</w:t>
      </w:r>
    </w:p>
    <w:p w14:paraId="4C0433F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日  期：    年     月    日</w:t>
      </w:r>
    </w:p>
    <w:p w14:paraId="614ACEE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附：法定代表人身份证复印件（正反面）</w:t>
      </w:r>
    </w:p>
    <w:p w14:paraId="1E6F7441">
      <w:pPr>
        <w:spacing w:after="105" w:line="500" w:lineRule="auto"/>
        <w:ind w:firstLine="420"/>
        <w:rPr>
          <w:rFonts w:ascii="仿宋" w:hAnsi="仿宋" w:eastAsia="仿宋" w:cs="仿宋"/>
          <w:color w:val="333333"/>
          <w:sz w:val="28"/>
          <w:shd w:val="clear" w:color="auto" w:fill="FFFFFF"/>
        </w:rPr>
      </w:pPr>
    </w:p>
    <w:p w14:paraId="1A0F43CE">
      <w:pPr>
        <w:spacing w:after="105" w:line="500" w:lineRule="auto"/>
        <w:ind w:firstLine="420"/>
        <w:rPr>
          <w:rFonts w:ascii="仿宋" w:hAnsi="仿宋" w:eastAsia="仿宋" w:cs="仿宋"/>
          <w:color w:val="333333"/>
          <w:sz w:val="28"/>
          <w:shd w:val="clear" w:color="auto" w:fill="FFFFFF"/>
        </w:rPr>
      </w:pPr>
    </w:p>
    <w:p w14:paraId="19DA57D2">
      <w:pPr>
        <w:spacing w:after="105" w:line="500" w:lineRule="auto"/>
        <w:ind w:firstLine="420"/>
        <w:rPr>
          <w:rFonts w:ascii="仿宋" w:hAnsi="仿宋" w:eastAsia="仿宋" w:cs="仿宋"/>
          <w:color w:val="333333"/>
          <w:sz w:val="28"/>
          <w:shd w:val="clear" w:color="auto" w:fill="FFFFFF"/>
        </w:rPr>
      </w:pPr>
    </w:p>
    <w:p w14:paraId="353DEC83">
      <w:pPr>
        <w:spacing w:after="105" w:line="500" w:lineRule="auto"/>
        <w:rPr>
          <w:rFonts w:ascii="仿宋" w:hAnsi="仿宋" w:eastAsia="仿宋" w:cs="仿宋"/>
          <w:color w:val="333333"/>
          <w:sz w:val="28"/>
          <w:shd w:val="clear" w:color="auto" w:fill="FFFFFF"/>
        </w:rPr>
      </w:pPr>
    </w:p>
    <w:p w14:paraId="1DD4C052">
      <w:pPr>
        <w:spacing w:after="105" w:line="500" w:lineRule="auto"/>
        <w:rPr>
          <w:rFonts w:ascii="仿宋" w:hAnsi="仿宋" w:eastAsia="仿宋" w:cs="仿宋"/>
          <w:color w:val="333333"/>
          <w:sz w:val="28"/>
          <w:shd w:val="clear" w:color="auto" w:fill="FFFFFF"/>
        </w:rPr>
      </w:pPr>
    </w:p>
    <w:p w14:paraId="3FEC8DB4">
      <w:pPr>
        <w:spacing w:after="105" w:line="500" w:lineRule="auto"/>
        <w:rPr>
          <w:rFonts w:hint="eastAsia" w:ascii="仿宋" w:hAnsi="仿宋" w:eastAsia="仿宋" w:cs="仿宋"/>
          <w:color w:val="333333"/>
          <w:sz w:val="28"/>
          <w:shd w:val="clear" w:color="auto" w:fill="FFFFFF"/>
          <w:lang w:eastAsia="zh-CN"/>
        </w:rPr>
      </w:pPr>
      <w:r>
        <w:rPr>
          <w:rFonts w:ascii="仿宋" w:hAnsi="仿宋" w:eastAsia="仿宋" w:cs="仿宋"/>
          <w:color w:val="333333"/>
          <w:sz w:val="28"/>
          <w:shd w:val="clear" w:color="auto" w:fill="FFFFFF"/>
        </w:rPr>
        <w:t>附件2</w:t>
      </w:r>
      <w:r>
        <w:rPr>
          <w:rFonts w:hint="eastAsia" w:ascii="仿宋" w:hAnsi="仿宋" w:eastAsia="仿宋" w:cs="仿宋"/>
          <w:color w:val="333333"/>
          <w:sz w:val="28"/>
          <w:shd w:val="clear" w:color="auto" w:fill="FFFFFF"/>
          <w:lang w:eastAsia="zh-CN"/>
        </w:rPr>
        <w:t>：</w:t>
      </w:r>
    </w:p>
    <w:p w14:paraId="32563D1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（二）法定代表人授权书</w:t>
      </w:r>
    </w:p>
    <w:p w14:paraId="20333FA6">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本人</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hint="eastAsia" w:ascii="仿宋" w:hAnsi="仿宋" w:eastAsia="仿宋" w:cs="仿宋"/>
          <w:color w:val="333333"/>
          <w:sz w:val="28"/>
          <w:u w:val="single"/>
          <w:shd w:val="clear" w:color="auto" w:fill="FFFFFF"/>
          <w:lang w:eastAsia="zh-CN"/>
        </w:rPr>
        <w:t>比选</w:t>
      </w:r>
      <w:r>
        <w:rPr>
          <w:rFonts w:ascii="仿宋" w:hAnsi="仿宋" w:eastAsia="仿宋" w:cs="仿宋"/>
          <w:color w:val="333333"/>
          <w:sz w:val="28"/>
          <w:u w:val="single"/>
          <w:shd w:val="clear" w:color="auto" w:fill="FFFFFF"/>
        </w:rPr>
        <w:t xml:space="preserve">申请人全称）  </w:t>
      </w:r>
      <w:r>
        <w:rPr>
          <w:rFonts w:ascii="仿宋" w:hAnsi="仿宋" w:eastAsia="仿宋" w:cs="仿宋"/>
          <w:color w:val="333333"/>
          <w:sz w:val="28"/>
          <w:shd w:val="clear" w:color="auto" w:fill="FFFFFF"/>
        </w:rPr>
        <w:t>的法定代表人，现委托</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为我方代理人；代理人根据授权，以我方名义签署、澄清、说明、补正、递交、撤回、修改</w:t>
      </w:r>
      <w:r>
        <w:rPr>
          <w:rFonts w:ascii="仿宋" w:hAnsi="仿宋" w:eastAsia="仿宋" w:cs="仿宋"/>
          <w:color w:val="333333"/>
          <w:sz w:val="28"/>
          <w:u w:val="single"/>
          <w:shd w:val="clear" w:color="auto" w:fill="FFFFFF"/>
        </w:rPr>
        <w:t xml:space="preserve">  （项目名称）  </w:t>
      </w:r>
      <w:r>
        <w:rPr>
          <w:rFonts w:ascii="仿宋" w:hAnsi="仿宋" w:eastAsia="仿宋" w:cs="仿宋"/>
          <w:color w:val="333333"/>
          <w:sz w:val="28"/>
          <w:shd w:val="clear" w:color="auto" w:fill="FFFFFF"/>
        </w:rPr>
        <w:t>的招标代理</w:t>
      </w: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申请文件和处理有关事宜，其法律后果由我方承担。</w:t>
      </w:r>
    </w:p>
    <w:p w14:paraId="4B2C361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代理人无转委托权。</w:t>
      </w:r>
    </w:p>
    <w:p w14:paraId="7FA6676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特此委托。</w:t>
      </w:r>
    </w:p>
    <w:p w14:paraId="1CD71E3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法定代表人：       （签字或盖章）</w:t>
      </w:r>
    </w:p>
    <w:p w14:paraId="70686509">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C0D70D">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            （签字）        </w:t>
      </w:r>
    </w:p>
    <w:p w14:paraId="3EABEB7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EFE415">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val="en-US" w:eastAsia="zh-CN"/>
        </w:rPr>
        <w:t>比选</w:t>
      </w:r>
      <w:r>
        <w:rPr>
          <w:rFonts w:ascii="仿宋" w:hAnsi="仿宋" w:eastAsia="仿宋" w:cs="仿宋"/>
          <w:color w:val="333333"/>
          <w:sz w:val="28"/>
          <w:shd w:val="clear" w:color="auto" w:fill="FFFFFF"/>
        </w:rPr>
        <w:t>申请人：    （盖单位章）</w:t>
      </w:r>
    </w:p>
    <w:p w14:paraId="091E0E7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年   月   日</w:t>
      </w:r>
    </w:p>
    <w:p w14:paraId="0310E99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附：法定代表人和委托代理人身份证正反面复印件</w:t>
      </w:r>
    </w:p>
    <w:p w14:paraId="0498212F">
      <w:pPr>
        <w:spacing w:after="105" w:line="500" w:lineRule="auto"/>
        <w:jc w:val="left"/>
        <w:rPr>
          <w:rFonts w:hint="eastAsia" w:ascii="仿宋" w:hAnsi="仿宋" w:eastAsia="仿宋" w:cs="仿宋"/>
          <w:color w:val="333333"/>
          <w:sz w:val="28"/>
          <w:shd w:val="clear" w:color="auto" w:fill="FFFFFF"/>
        </w:rPr>
      </w:pPr>
    </w:p>
    <w:p w14:paraId="3A5BCFA9">
      <w:pPr>
        <w:spacing w:after="105" w:line="500" w:lineRule="auto"/>
        <w:jc w:val="left"/>
        <w:rPr>
          <w:rFonts w:hint="eastAsia" w:ascii="仿宋" w:hAnsi="仿宋" w:eastAsia="仿宋" w:cs="仿宋"/>
          <w:color w:val="333333"/>
          <w:sz w:val="28"/>
          <w:shd w:val="clear" w:color="auto" w:fill="FFFFFF"/>
        </w:rPr>
      </w:pPr>
    </w:p>
    <w:p w14:paraId="16E39565">
      <w:pPr>
        <w:spacing w:after="105" w:line="500" w:lineRule="auto"/>
        <w:jc w:val="left"/>
        <w:rPr>
          <w:rFonts w:hint="eastAsia" w:ascii="仿宋" w:hAnsi="仿宋" w:eastAsia="仿宋" w:cs="仿宋"/>
          <w:color w:val="333333"/>
          <w:sz w:val="28"/>
          <w:shd w:val="clear" w:color="auto" w:fill="FFFFFF"/>
        </w:rPr>
      </w:pPr>
    </w:p>
    <w:p w14:paraId="60191298">
      <w:pPr>
        <w:spacing w:after="105" w:line="500" w:lineRule="auto"/>
        <w:jc w:val="left"/>
        <w:rPr>
          <w:rFonts w:hint="eastAsia" w:ascii="仿宋" w:hAnsi="仿宋" w:eastAsia="仿宋" w:cs="仿宋"/>
          <w:color w:val="333333"/>
          <w:sz w:val="28"/>
          <w:shd w:val="clear" w:color="auto" w:fill="FFFFFF"/>
        </w:rPr>
      </w:pPr>
    </w:p>
    <w:p w14:paraId="1FD571E6">
      <w:pPr>
        <w:spacing w:after="105" w:line="500" w:lineRule="auto"/>
        <w:jc w:val="left"/>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rPr>
        <w:t>附件3:比选办法</w:t>
      </w:r>
    </w:p>
    <w:p w14:paraId="39EAEA28">
      <w:pPr>
        <w:spacing w:after="105" w:line="500" w:lineRule="auto"/>
        <w:jc w:val="center"/>
        <w:rPr>
          <w:rFonts w:ascii="仿宋" w:hAnsi="仿宋" w:eastAsia="仿宋" w:cs="仿宋"/>
          <w:b/>
          <w:bCs/>
          <w:color w:val="333333"/>
          <w:sz w:val="40"/>
          <w:szCs w:val="32"/>
          <w:shd w:val="clear" w:color="auto" w:fill="FFFFFF"/>
        </w:rPr>
      </w:pPr>
      <w:r>
        <w:rPr>
          <w:rFonts w:hint="eastAsia" w:ascii="仿宋" w:hAnsi="仿宋" w:eastAsia="仿宋" w:cs="仿宋"/>
          <w:b/>
          <w:bCs/>
          <w:color w:val="333333"/>
          <w:sz w:val="40"/>
          <w:szCs w:val="32"/>
          <w:shd w:val="clear" w:color="auto" w:fill="FFFFFF"/>
        </w:rPr>
        <w:t>比选办法</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86"/>
        <w:gridCol w:w="6100"/>
      </w:tblGrid>
      <w:tr w14:paraId="0E5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07" w:type="dxa"/>
            <w:gridSpan w:val="2"/>
            <w:vAlign w:val="center"/>
          </w:tcPr>
          <w:p w14:paraId="6972EDEF">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评审因素</w:t>
            </w:r>
          </w:p>
        </w:tc>
        <w:tc>
          <w:tcPr>
            <w:tcW w:w="6100" w:type="dxa"/>
            <w:vAlign w:val="center"/>
          </w:tcPr>
          <w:p w14:paraId="24F5BE72">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评审标准</w:t>
            </w:r>
          </w:p>
        </w:tc>
      </w:tr>
      <w:tr w14:paraId="1DB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1" w:type="dxa"/>
            <w:vMerge w:val="restart"/>
            <w:vAlign w:val="center"/>
          </w:tcPr>
          <w:p w14:paraId="5E3A30B6">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初步评审标准</w:t>
            </w:r>
          </w:p>
        </w:tc>
        <w:tc>
          <w:tcPr>
            <w:tcW w:w="1686" w:type="dxa"/>
            <w:vAlign w:val="center"/>
          </w:tcPr>
          <w:p w14:paraId="74C78CDD">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签字盖章</w:t>
            </w:r>
          </w:p>
        </w:tc>
        <w:tc>
          <w:tcPr>
            <w:tcW w:w="6100" w:type="dxa"/>
            <w:vAlign w:val="center"/>
          </w:tcPr>
          <w:p w14:paraId="158BEE54">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法定代表人身份证明和法定代表人授权书已按提供的格式签字盖章</w:t>
            </w:r>
            <w:r>
              <w:rPr>
                <w:rFonts w:hint="eastAsia" w:ascii="仿宋" w:hAnsi="仿宋" w:eastAsia="仿宋" w:cs="仿宋"/>
                <w:kern w:val="1"/>
                <w:sz w:val="24"/>
                <w:szCs w:val="24"/>
                <w:shd w:val="clear" w:color="auto" w:fill="FFFFFF"/>
                <w:lang w:eastAsia="zh-CN"/>
              </w:rPr>
              <w:t>。</w:t>
            </w:r>
          </w:p>
        </w:tc>
      </w:tr>
      <w:tr w14:paraId="22B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21" w:type="dxa"/>
            <w:vMerge w:val="continue"/>
            <w:vAlign w:val="center"/>
          </w:tcPr>
          <w:p w14:paraId="512F75BC">
            <w:pPr>
              <w:spacing w:line="360" w:lineRule="auto"/>
              <w:jc w:val="left"/>
              <w:rPr>
                <w:rFonts w:ascii="仿宋" w:hAnsi="仿宋" w:eastAsia="仿宋" w:cs="仿宋"/>
                <w:kern w:val="1"/>
                <w:sz w:val="24"/>
                <w:szCs w:val="24"/>
                <w:shd w:val="clear" w:color="auto" w:fill="FFFFFF"/>
              </w:rPr>
            </w:pPr>
          </w:p>
        </w:tc>
        <w:tc>
          <w:tcPr>
            <w:tcW w:w="1686" w:type="dxa"/>
            <w:vAlign w:val="center"/>
          </w:tcPr>
          <w:p w14:paraId="109ECA9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营业执照</w:t>
            </w:r>
          </w:p>
        </w:tc>
        <w:tc>
          <w:tcPr>
            <w:tcW w:w="6100" w:type="dxa"/>
            <w:vAlign w:val="center"/>
          </w:tcPr>
          <w:p w14:paraId="19AF113F">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具有独立法人资格，具有有效的“三证合一”的营业执照，提供有效的营业执照复印件并加盖公章</w:t>
            </w:r>
            <w:r>
              <w:rPr>
                <w:rFonts w:hint="eastAsia" w:ascii="仿宋" w:hAnsi="仿宋" w:eastAsia="仿宋" w:cs="仿宋"/>
                <w:kern w:val="1"/>
                <w:sz w:val="24"/>
                <w:szCs w:val="24"/>
                <w:shd w:val="clear" w:color="auto" w:fill="FFFFFF"/>
                <w:lang w:eastAsia="zh-CN"/>
              </w:rPr>
              <w:t>。</w:t>
            </w:r>
          </w:p>
        </w:tc>
      </w:tr>
      <w:tr w14:paraId="54A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21" w:type="dxa"/>
            <w:vMerge w:val="continue"/>
            <w:vAlign w:val="center"/>
          </w:tcPr>
          <w:p w14:paraId="7BBC8381">
            <w:pPr>
              <w:spacing w:line="360" w:lineRule="auto"/>
              <w:jc w:val="left"/>
              <w:rPr>
                <w:rFonts w:ascii="仿宋" w:hAnsi="仿宋" w:eastAsia="仿宋" w:cs="仿宋"/>
                <w:kern w:val="1"/>
                <w:sz w:val="24"/>
                <w:szCs w:val="24"/>
                <w:shd w:val="clear" w:color="auto" w:fill="FFFFFF"/>
              </w:rPr>
            </w:pPr>
          </w:p>
        </w:tc>
        <w:tc>
          <w:tcPr>
            <w:tcW w:w="1686" w:type="dxa"/>
            <w:vAlign w:val="center"/>
          </w:tcPr>
          <w:p w14:paraId="2C78A983">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lang w:eastAsia="zh-CN"/>
              </w:rPr>
              <w:t>从业行为</w:t>
            </w:r>
          </w:p>
        </w:tc>
        <w:tc>
          <w:tcPr>
            <w:tcW w:w="6100" w:type="dxa"/>
            <w:vAlign w:val="center"/>
          </w:tcPr>
          <w:p w14:paraId="5DF1FF1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站招标代理机构评价结果公开从业行为分大于等于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7D47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21" w:type="dxa"/>
            <w:vMerge w:val="continue"/>
            <w:vAlign w:val="center"/>
          </w:tcPr>
          <w:p w14:paraId="67B4EA1C">
            <w:pPr>
              <w:spacing w:line="360" w:lineRule="auto"/>
              <w:jc w:val="left"/>
              <w:rPr>
                <w:rFonts w:ascii="仿宋" w:hAnsi="仿宋" w:eastAsia="仿宋" w:cs="仿宋"/>
                <w:kern w:val="1"/>
                <w:sz w:val="24"/>
                <w:szCs w:val="24"/>
                <w:shd w:val="clear" w:color="auto" w:fill="FFFFFF"/>
              </w:rPr>
            </w:pPr>
          </w:p>
        </w:tc>
        <w:tc>
          <w:tcPr>
            <w:tcW w:w="1686" w:type="dxa"/>
            <w:vAlign w:val="center"/>
          </w:tcPr>
          <w:p w14:paraId="30611A47">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sz w:val="24"/>
                <w:szCs w:val="24"/>
                <w:shd w:val="clear" w:color="auto" w:fill="FFFFFF"/>
              </w:rPr>
              <w:t>服务</w:t>
            </w:r>
            <w:r>
              <w:rPr>
                <w:rFonts w:hint="eastAsia" w:ascii="仿宋" w:hAnsi="仿宋" w:eastAsia="仿宋" w:cs="仿宋"/>
                <w:sz w:val="24"/>
                <w:szCs w:val="24"/>
                <w:shd w:val="clear" w:color="auto" w:fill="FFFFFF"/>
                <w:lang w:eastAsia="zh-CN"/>
              </w:rPr>
              <w:t>质量</w:t>
            </w:r>
          </w:p>
        </w:tc>
        <w:tc>
          <w:tcPr>
            <w:tcW w:w="6100" w:type="dxa"/>
            <w:vAlign w:val="center"/>
          </w:tcPr>
          <w:p w14:paraId="3CC77F19">
            <w:pPr>
              <w:spacing w:line="360" w:lineRule="auto"/>
              <w:rPr>
                <w:rFonts w:ascii="仿宋" w:hAnsi="仿宋" w:eastAsia="仿宋" w:cs="仿宋"/>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站招标代理机构评价结果公开服务质量分大于等于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60C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1" w:type="dxa"/>
            <w:vMerge w:val="continue"/>
            <w:vAlign w:val="center"/>
          </w:tcPr>
          <w:p w14:paraId="2259C893">
            <w:pPr>
              <w:spacing w:line="360" w:lineRule="auto"/>
              <w:jc w:val="left"/>
              <w:rPr>
                <w:rFonts w:ascii="仿宋" w:hAnsi="仿宋" w:eastAsia="仿宋" w:cs="仿宋"/>
                <w:kern w:val="1"/>
                <w:sz w:val="24"/>
                <w:szCs w:val="24"/>
                <w:shd w:val="clear" w:color="auto" w:fill="FFFFFF"/>
              </w:rPr>
            </w:pPr>
          </w:p>
        </w:tc>
        <w:tc>
          <w:tcPr>
            <w:tcW w:w="1686" w:type="dxa"/>
            <w:vAlign w:val="center"/>
          </w:tcPr>
          <w:p w14:paraId="4E171495">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联合体申请</w:t>
            </w:r>
          </w:p>
        </w:tc>
        <w:tc>
          <w:tcPr>
            <w:tcW w:w="6100" w:type="dxa"/>
            <w:vAlign w:val="center"/>
          </w:tcPr>
          <w:p w14:paraId="09327DC2">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不允许</w:t>
            </w:r>
          </w:p>
        </w:tc>
      </w:tr>
      <w:tr w14:paraId="35B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707" w:type="dxa"/>
            <w:gridSpan w:val="2"/>
            <w:vAlign w:val="center"/>
          </w:tcPr>
          <w:p w14:paraId="58DA1094">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分值构成</w:t>
            </w:r>
          </w:p>
          <w:p w14:paraId="31CAE8AA">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(总分100分)</w:t>
            </w:r>
          </w:p>
        </w:tc>
        <w:tc>
          <w:tcPr>
            <w:tcW w:w="6100" w:type="dxa"/>
            <w:vAlign w:val="center"/>
          </w:tcPr>
          <w:p w14:paraId="171AA735">
            <w:pPr>
              <w:spacing w:line="360" w:lineRule="auto"/>
              <w:rPr>
                <w:rFonts w:hint="default" w:ascii="仿宋" w:hAnsi="仿宋" w:eastAsia="仿宋" w:cs="仿宋"/>
                <w:sz w:val="24"/>
                <w:szCs w:val="24"/>
                <w:lang w:val="en-US"/>
              </w:rPr>
            </w:pPr>
            <w:r>
              <w:rPr>
                <w:rFonts w:hint="eastAsia" w:ascii="仿宋" w:hAnsi="仿宋" w:eastAsia="仿宋" w:cs="仿宋"/>
                <w:sz w:val="24"/>
                <w:szCs w:val="24"/>
                <w:lang w:val="en-US" w:eastAsia="zh-CN"/>
              </w:rPr>
              <w:t>信用评价：20分</w:t>
            </w:r>
          </w:p>
          <w:p w14:paraId="48606878">
            <w:pPr>
              <w:spacing w:line="360" w:lineRule="auto"/>
              <w:rPr>
                <w:rFonts w:hint="eastAsia" w:ascii="仿宋" w:hAnsi="仿宋" w:eastAsia="仿宋" w:cs="仿宋"/>
                <w:sz w:val="24"/>
                <w:szCs w:val="24"/>
              </w:rPr>
            </w:pPr>
            <w:r>
              <w:rPr>
                <w:rFonts w:hint="eastAsia" w:ascii="仿宋" w:hAnsi="仿宋" w:eastAsia="仿宋" w:cs="仿宋"/>
                <w:sz w:val="24"/>
                <w:szCs w:val="24"/>
              </w:rPr>
              <w:t>企业实力：</w:t>
            </w:r>
            <w:r>
              <w:rPr>
                <w:rFonts w:hint="eastAsia" w:ascii="仿宋" w:hAnsi="仿宋" w:eastAsia="仿宋" w:cs="仿宋"/>
                <w:sz w:val="24"/>
                <w:szCs w:val="24"/>
                <w:lang w:val="en-US" w:eastAsia="zh-CN"/>
              </w:rPr>
              <w:t>24</w:t>
            </w:r>
            <w:r>
              <w:rPr>
                <w:rFonts w:hint="eastAsia" w:ascii="仿宋" w:hAnsi="仿宋" w:eastAsia="仿宋" w:cs="仿宋"/>
                <w:sz w:val="24"/>
                <w:szCs w:val="24"/>
              </w:rPr>
              <w:t>分</w:t>
            </w:r>
          </w:p>
          <w:p w14:paraId="6B01CEFE">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拟派项目团队实力：11分</w:t>
            </w:r>
          </w:p>
          <w:p w14:paraId="17C24FC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报价得分：35分</w:t>
            </w:r>
          </w:p>
          <w:p w14:paraId="4ECF861C">
            <w:pPr>
              <w:spacing w:line="360" w:lineRule="auto"/>
              <w:rPr>
                <w:rFonts w:hint="default"/>
                <w:lang w:val="en-US"/>
              </w:rPr>
            </w:pPr>
            <w:r>
              <w:rPr>
                <w:rFonts w:hint="eastAsia" w:ascii="仿宋" w:hAnsi="仿宋" w:eastAsia="仿宋" w:cs="仿宋"/>
                <w:sz w:val="24"/>
                <w:szCs w:val="24"/>
              </w:rPr>
              <w:t>服务方案：</w:t>
            </w:r>
            <w:r>
              <w:rPr>
                <w:rFonts w:hint="eastAsia" w:ascii="仿宋" w:hAnsi="仿宋" w:eastAsia="仿宋" w:cs="仿宋"/>
                <w:sz w:val="24"/>
                <w:szCs w:val="24"/>
                <w:lang w:val="en-US" w:eastAsia="zh-CN"/>
              </w:rPr>
              <w:t>10分</w:t>
            </w:r>
          </w:p>
        </w:tc>
      </w:tr>
      <w:tr w14:paraId="327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7" w:type="dxa"/>
            <w:gridSpan w:val="2"/>
            <w:vAlign w:val="center"/>
          </w:tcPr>
          <w:p w14:paraId="0AFD3B4B">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评分因素</w:t>
            </w:r>
          </w:p>
        </w:tc>
        <w:tc>
          <w:tcPr>
            <w:tcW w:w="6100" w:type="dxa"/>
            <w:vAlign w:val="center"/>
          </w:tcPr>
          <w:p w14:paraId="3A6AFFC7">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评分标准</w:t>
            </w:r>
          </w:p>
        </w:tc>
      </w:tr>
      <w:tr w14:paraId="1B71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restart"/>
            <w:vAlign w:val="center"/>
          </w:tcPr>
          <w:p w14:paraId="32CF72D0">
            <w:pPr>
              <w:pStyle w:val="3"/>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评分标准（100分）</w:t>
            </w:r>
          </w:p>
        </w:tc>
        <w:tc>
          <w:tcPr>
            <w:tcW w:w="1686" w:type="dxa"/>
            <w:vAlign w:val="center"/>
          </w:tcPr>
          <w:p w14:paraId="20F72291">
            <w:pPr>
              <w:pStyle w:val="3"/>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eastAsia="zh-CN"/>
              </w:rPr>
              <w:t>信用评价</w:t>
            </w:r>
            <w:r>
              <w:rPr>
                <w:rFonts w:hint="eastAsia" w:ascii="仿宋" w:hAnsi="仿宋" w:eastAsia="仿宋" w:cs="仿宋"/>
                <w:szCs w:val="24"/>
                <w:shd w:val="clear" w:color="auto" w:fill="FFFFFF"/>
                <w:lang w:val="en-US"/>
              </w:rPr>
              <w:t>（</w:t>
            </w:r>
            <w:r>
              <w:rPr>
                <w:rFonts w:hint="eastAsia" w:ascii="仿宋" w:hAnsi="仿宋" w:eastAsia="仿宋" w:cs="仿宋"/>
                <w:szCs w:val="24"/>
                <w:shd w:val="clear" w:color="auto" w:fill="FFFFFF"/>
                <w:lang w:val="en-US" w:eastAsia="zh-CN"/>
              </w:rPr>
              <w:t>2</w:t>
            </w:r>
            <w:r>
              <w:rPr>
                <w:rFonts w:hint="eastAsia" w:ascii="仿宋" w:hAnsi="仿宋" w:eastAsia="仿宋" w:cs="仿宋"/>
                <w:szCs w:val="24"/>
                <w:shd w:val="clear" w:color="auto" w:fill="FFFFFF"/>
                <w:lang w:val="en-US"/>
              </w:rPr>
              <w:t>0分）</w:t>
            </w:r>
          </w:p>
        </w:tc>
        <w:tc>
          <w:tcPr>
            <w:tcW w:w="6100" w:type="dxa"/>
            <w:vAlign w:val="center"/>
          </w:tcPr>
          <w:p w14:paraId="5F4C193B">
            <w:pPr>
              <w:pStyle w:val="3"/>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参照《宿州市工程建设项目招标代理机构选取工作指引》，按照宿州市公共资源交易平台招标代理机构评价结果中自助权重筛选（设置基本条件占比20%、人员配备20%、企业业绩占比20%、从业行为20%、服务质量20%）结果，本项最终得分为自助权重得分/100*20（保留小数点两位）</w:t>
            </w:r>
          </w:p>
        </w:tc>
      </w:tr>
      <w:tr w14:paraId="7EA9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continue"/>
            <w:vAlign w:val="center"/>
          </w:tcPr>
          <w:p w14:paraId="38B0D49C">
            <w:pPr>
              <w:pStyle w:val="3"/>
              <w:spacing w:line="360" w:lineRule="auto"/>
              <w:rPr>
                <w:rFonts w:hint="eastAsia" w:ascii="仿宋" w:hAnsi="仿宋" w:eastAsia="仿宋" w:cs="仿宋"/>
                <w:szCs w:val="24"/>
                <w:shd w:val="clear" w:color="auto" w:fill="FFFFFF"/>
                <w:lang w:val="en-US"/>
              </w:rPr>
            </w:pPr>
          </w:p>
        </w:tc>
        <w:tc>
          <w:tcPr>
            <w:tcW w:w="1686" w:type="dxa"/>
            <w:vAlign w:val="center"/>
          </w:tcPr>
          <w:p w14:paraId="784BA4CB">
            <w:pPr>
              <w:pStyle w:val="3"/>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企业实力（24分）</w:t>
            </w:r>
          </w:p>
        </w:tc>
        <w:tc>
          <w:tcPr>
            <w:tcW w:w="6100" w:type="dxa"/>
            <w:vAlign w:val="center"/>
          </w:tcPr>
          <w:p w14:paraId="56C15A13">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1.企业荣誉：自2024年6月1日以来获得省级及以上的行政主管部门或在国内依法登记注册的省级及以上行业管理协会颁发荣誉证书的，每个得3分，最高得6分。</w:t>
            </w:r>
          </w:p>
          <w:p w14:paraId="76A9E078">
            <w:pPr>
              <w:pStyle w:val="3"/>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备注：（1）提供获奖证书（或批复，或颁奖单位颁奖文件）扫描件（或影印件）；（2）时间以证书颁发（或颁奖文件落款）的时间为准。</w:t>
            </w:r>
          </w:p>
          <w:p w14:paraId="2CEE19EB">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2.企业业绩：2024年6月1日以来（以招标公告发布时间为准），比选申请人承担过工程总投资15亿元及以上建筑工程项目工程总承包（或EPC,或EPCO）招标代理业绩的，每提供1个得6分，最高得18分。</w:t>
            </w:r>
          </w:p>
          <w:p w14:paraId="55BB487D">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备注：提供代理项目的招标代理协议扫描件（或影印件）、提供市级及以上公共资交易网招标公告及中标结果公告网页截图。</w:t>
            </w:r>
          </w:p>
        </w:tc>
      </w:tr>
      <w:tr w14:paraId="69E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continue"/>
            <w:vAlign w:val="center"/>
          </w:tcPr>
          <w:p w14:paraId="410B725C">
            <w:pPr>
              <w:pStyle w:val="3"/>
              <w:spacing w:line="360" w:lineRule="auto"/>
              <w:rPr>
                <w:rFonts w:hint="eastAsia" w:ascii="仿宋" w:hAnsi="仿宋" w:eastAsia="仿宋" w:cs="仿宋"/>
                <w:szCs w:val="24"/>
                <w:shd w:val="clear" w:color="auto" w:fill="FFFFFF"/>
                <w:lang w:val="en-US"/>
              </w:rPr>
            </w:pPr>
          </w:p>
        </w:tc>
        <w:tc>
          <w:tcPr>
            <w:tcW w:w="1686" w:type="dxa"/>
            <w:vAlign w:val="center"/>
          </w:tcPr>
          <w:p w14:paraId="4DA2E38B">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拟派项目团队实力（11分）</w:t>
            </w:r>
          </w:p>
        </w:tc>
        <w:tc>
          <w:tcPr>
            <w:tcW w:w="6100" w:type="dxa"/>
            <w:vAlign w:val="center"/>
          </w:tcPr>
          <w:p w14:paraId="036BCB9B">
            <w:pPr>
              <w:pStyle w:val="3"/>
              <w:numPr>
                <w:ilvl w:val="0"/>
                <w:numId w:val="0"/>
              </w:numPr>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1.拟派项目负责人具备建筑工程类或工程招标类专业高级及以上职称证书的，得3分。</w:t>
            </w:r>
          </w:p>
          <w:p w14:paraId="20B5ABC8">
            <w:pPr>
              <w:pStyle w:val="3"/>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2.拟派项目组成员：具有建筑工程类或工程招标类专业高级及以上职称证书或一级建造师或一级造价师执业证书或注册咨询工程师的,每提供1个得1.5分，本小项满分3分。</w:t>
            </w:r>
          </w:p>
          <w:p w14:paraId="36B111CA">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备注：（1）提供上述人员证书扫描件（或影印件）。项目负责人须为申请单位的在职职工，且为宿州市公共资源交易网站注册人员，须提供宿州市公共资源交易网截图和近一年以来申请人为其缴纳的任意连续6个月社保证明材料。</w:t>
            </w:r>
            <w:r>
              <w:rPr>
                <w:rFonts w:hint="eastAsia" w:ascii="仿宋" w:hAnsi="仿宋" w:eastAsia="仿宋" w:cs="仿宋"/>
                <w:szCs w:val="24"/>
                <w:highlight w:val="none"/>
                <w:shd w:val="clear" w:color="auto" w:fill="FFFFFF"/>
                <w:lang w:val="en-US" w:eastAsia="zh-CN"/>
              </w:rPr>
              <w:t>（2）本项目实施过程中，项目负责人须全程参与，负责项目招标文件拟定、组织开标评标工作，并按照比选人规定到达现场，否则视为违约。</w:t>
            </w:r>
          </w:p>
          <w:p w14:paraId="73A2ABCD">
            <w:pPr>
              <w:pStyle w:val="3"/>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202</w:t>
            </w:r>
            <w:r>
              <w:rPr>
                <w:rFonts w:hint="eastAsia" w:ascii="仿宋" w:hAnsi="仿宋" w:eastAsia="仿宋" w:cs="仿宋"/>
                <w:szCs w:val="24"/>
                <w:shd w:val="clear" w:color="auto" w:fill="FFFFFF"/>
                <w:lang w:val="en-US" w:eastAsia="zh-CN"/>
              </w:rPr>
              <w:t>4</w:t>
            </w:r>
            <w:r>
              <w:rPr>
                <w:rFonts w:hint="default" w:ascii="仿宋" w:hAnsi="仿宋" w:eastAsia="仿宋" w:cs="仿宋"/>
                <w:szCs w:val="24"/>
                <w:shd w:val="clear" w:color="auto" w:fill="FFFFFF"/>
                <w:lang w:val="en-US" w:eastAsia="zh-CN"/>
              </w:rPr>
              <w:t>年</w:t>
            </w:r>
            <w:r>
              <w:rPr>
                <w:rFonts w:hint="eastAsia" w:ascii="仿宋" w:hAnsi="仿宋" w:eastAsia="仿宋" w:cs="仿宋"/>
                <w:szCs w:val="24"/>
                <w:shd w:val="clear" w:color="auto" w:fill="FFFFFF"/>
                <w:lang w:val="en-US" w:eastAsia="zh-CN"/>
              </w:rPr>
              <w:t>6</w:t>
            </w:r>
            <w:r>
              <w:rPr>
                <w:rFonts w:hint="default" w:ascii="仿宋" w:hAnsi="仿宋" w:eastAsia="仿宋" w:cs="仿宋"/>
                <w:szCs w:val="24"/>
                <w:shd w:val="clear" w:color="auto" w:fill="FFFFFF"/>
                <w:lang w:val="en-US" w:eastAsia="zh-CN"/>
              </w:rPr>
              <w:t>月1日以来（以招标公告发布时间为准）</w:t>
            </w:r>
            <w:r>
              <w:rPr>
                <w:rFonts w:hint="eastAsia" w:ascii="仿宋" w:hAnsi="仿宋" w:eastAsia="仿宋" w:cs="仿宋"/>
                <w:szCs w:val="24"/>
                <w:shd w:val="clear" w:color="auto" w:fill="FFFFFF"/>
                <w:lang w:val="en-US" w:eastAsia="zh-CN"/>
              </w:rPr>
              <w:t>，</w:t>
            </w:r>
            <w:r>
              <w:rPr>
                <w:rFonts w:hint="default" w:ascii="仿宋" w:hAnsi="仿宋" w:eastAsia="仿宋" w:cs="仿宋"/>
                <w:szCs w:val="24"/>
                <w:shd w:val="clear" w:color="auto" w:fill="FFFFFF"/>
                <w:lang w:val="en-US" w:eastAsia="zh-CN"/>
              </w:rPr>
              <w:t>拟派项目负责人</w:t>
            </w:r>
            <w:r>
              <w:rPr>
                <w:rFonts w:hint="eastAsia" w:ascii="仿宋" w:hAnsi="仿宋" w:eastAsia="仿宋" w:cs="仿宋"/>
                <w:szCs w:val="24"/>
                <w:shd w:val="clear" w:color="auto" w:fill="FFFFFF"/>
                <w:lang w:val="en-US" w:eastAsia="zh-CN"/>
              </w:rPr>
              <w:t>以项目负责人身份</w:t>
            </w:r>
            <w:r>
              <w:rPr>
                <w:rFonts w:hint="default" w:ascii="仿宋" w:hAnsi="仿宋" w:eastAsia="仿宋" w:cs="仿宋"/>
                <w:szCs w:val="24"/>
                <w:shd w:val="clear" w:color="auto" w:fill="FFFFFF"/>
                <w:lang w:val="en-US" w:eastAsia="zh-CN"/>
              </w:rPr>
              <w:t>承担过工程总投资15亿元及以上</w:t>
            </w:r>
            <w:r>
              <w:rPr>
                <w:rFonts w:hint="eastAsia" w:ascii="仿宋" w:hAnsi="仿宋" w:eastAsia="仿宋" w:cs="仿宋"/>
                <w:szCs w:val="24"/>
                <w:shd w:val="clear" w:color="auto" w:fill="FFFFFF"/>
                <w:lang w:val="en-US" w:eastAsia="zh-CN"/>
              </w:rPr>
              <w:t>建筑工程</w:t>
            </w:r>
            <w:r>
              <w:rPr>
                <w:rFonts w:hint="default" w:ascii="仿宋" w:hAnsi="仿宋" w:eastAsia="仿宋" w:cs="仿宋"/>
                <w:szCs w:val="24"/>
                <w:shd w:val="clear" w:color="auto" w:fill="FFFFFF"/>
                <w:lang w:val="en-US" w:eastAsia="zh-CN"/>
              </w:rPr>
              <w:t>项目工程总承包（或EPC,或EPCO）招标代理业绩的，每提供1个得</w:t>
            </w:r>
            <w:r>
              <w:rPr>
                <w:rFonts w:hint="eastAsia" w:ascii="仿宋" w:hAnsi="仿宋" w:eastAsia="仿宋" w:cs="仿宋"/>
                <w:szCs w:val="24"/>
                <w:shd w:val="clear" w:color="auto" w:fill="FFFFFF"/>
                <w:lang w:val="en-US" w:eastAsia="zh-CN"/>
              </w:rPr>
              <w:t>5</w:t>
            </w:r>
            <w:r>
              <w:rPr>
                <w:rFonts w:hint="default" w:ascii="仿宋" w:hAnsi="仿宋" w:eastAsia="仿宋" w:cs="仿宋"/>
                <w:szCs w:val="24"/>
                <w:shd w:val="clear" w:color="auto" w:fill="FFFFFF"/>
                <w:lang w:val="en-US" w:eastAsia="zh-CN"/>
              </w:rPr>
              <w:t>分，最高得</w:t>
            </w:r>
            <w:r>
              <w:rPr>
                <w:rFonts w:hint="eastAsia" w:ascii="仿宋" w:hAnsi="仿宋" w:eastAsia="仿宋" w:cs="仿宋"/>
                <w:szCs w:val="24"/>
                <w:shd w:val="clear" w:color="auto" w:fill="FFFFFF"/>
                <w:lang w:val="en-US" w:eastAsia="zh-CN"/>
              </w:rPr>
              <w:t>5</w:t>
            </w:r>
            <w:r>
              <w:rPr>
                <w:rFonts w:hint="default" w:ascii="仿宋" w:hAnsi="仿宋" w:eastAsia="仿宋" w:cs="仿宋"/>
                <w:szCs w:val="24"/>
                <w:shd w:val="clear" w:color="auto" w:fill="FFFFFF"/>
                <w:lang w:val="en-US" w:eastAsia="zh-CN"/>
              </w:rPr>
              <w:t>分。</w:t>
            </w:r>
          </w:p>
          <w:p w14:paraId="3033F08A">
            <w:pPr>
              <w:pStyle w:val="3"/>
              <w:spacing w:line="360" w:lineRule="auto"/>
              <w:rPr>
                <w:rFonts w:hint="eastAsia"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备注：</w:t>
            </w:r>
            <w:r>
              <w:rPr>
                <w:rFonts w:hint="eastAsia" w:ascii="仿宋" w:hAnsi="仿宋" w:eastAsia="仿宋" w:cs="仿宋"/>
                <w:szCs w:val="24"/>
                <w:shd w:val="clear" w:color="auto" w:fill="FFFFFF"/>
                <w:lang w:val="en-US" w:eastAsia="zh-CN"/>
              </w:rPr>
              <w:t>（1）</w:t>
            </w:r>
            <w:r>
              <w:rPr>
                <w:rFonts w:hint="default" w:ascii="仿宋" w:hAnsi="仿宋" w:eastAsia="仿宋" w:cs="仿宋"/>
                <w:szCs w:val="24"/>
                <w:shd w:val="clear" w:color="auto" w:fill="FFFFFF"/>
                <w:lang w:val="en-US" w:eastAsia="zh-CN"/>
              </w:rPr>
              <w:t>提供代理项目的招标代理协议扫描件（或影印件）、提供市级及以上公共资交易网招标公告及中标结果公告网页截图，招标代理协议</w:t>
            </w:r>
            <w:r>
              <w:rPr>
                <w:rFonts w:hint="eastAsia" w:ascii="仿宋" w:hAnsi="仿宋" w:eastAsia="仿宋" w:cs="仿宋"/>
                <w:szCs w:val="24"/>
                <w:shd w:val="clear" w:color="auto" w:fill="FFFFFF"/>
                <w:lang w:val="en-US" w:eastAsia="zh-CN"/>
              </w:rPr>
              <w:t>和招标公告中须体现项目负责人姓名，否则不予认可。（2）项目负责人业绩与企业业绩可重复计取。</w:t>
            </w:r>
          </w:p>
        </w:tc>
      </w:tr>
      <w:tr w14:paraId="0AC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0D82F4E8">
            <w:pPr>
              <w:spacing w:line="360" w:lineRule="auto"/>
              <w:jc w:val="left"/>
              <w:rPr>
                <w:rFonts w:ascii="仿宋" w:hAnsi="仿宋" w:eastAsia="仿宋" w:cs="仿宋"/>
                <w:kern w:val="1"/>
                <w:sz w:val="24"/>
                <w:szCs w:val="24"/>
                <w:shd w:val="clear" w:color="auto" w:fill="FFFFFF"/>
              </w:rPr>
            </w:pPr>
          </w:p>
        </w:tc>
        <w:tc>
          <w:tcPr>
            <w:tcW w:w="1686" w:type="dxa"/>
            <w:vAlign w:val="center"/>
          </w:tcPr>
          <w:p w14:paraId="2EAFAD4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报价得分（</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w:t>
            </w:r>
          </w:p>
        </w:tc>
        <w:tc>
          <w:tcPr>
            <w:tcW w:w="6100" w:type="dxa"/>
          </w:tcPr>
          <w:p w14:paraId="218129B3">
            <w:pPr>
              <w:pStyle w:val="3"/>
              <w:numPr>
                <w:ilvl w:val="0"/>
                <w:numId w:val="0"/>
              </w:numPr>
              <w:spacing w:line="360" w:lineRule="auto"/>
              <w:rPr>
                <w:rFonts w:hint="default" w:ascii="仿宋" w:hAnsi="仿宋" w:eastAsia="仿宋" w:cs="仿宋"/>
                <w:szCs w:val="24"/>
                <w:highlight w:val="none"/>
                <w:shd w:val="clear" w:color="auto" w:fill="FFFFFF"/>
                <w:lang w:val="en-US" w:eastAsia="zh-CN"/>
              </w:rPr>
            </w:pPr>
            <w:r>
              <w:rPr>
                <w:rFonts w:hint="eastAsia" w:ascii="仿宋" w:hAnsi="仿宋" w:eastAsia="仿宋" w:cs="仿宋"/>
                <w:szCs w:val="24"/>
                <w:highlight w:val="none"/>
                <w:shd w:val="clear" w:color="auto" w:fill="FFFFFF"/>
                <w:lang w:val="en-US" w:eastAsia="zh-CN"/>
              </w:rPr>
              <w:t>比选申请</w:t>
            </w:r>
            <w:r>
              <w:rPr>
                <w:rFonts w:hint="default" w:ascii="仿宋" w:hAnsi="仿宋" w:eastAsia="仿宋" w:cs="仿宋"/>
                <w:szCs w:val="24"/>
                <w:highlight w:val="none"/>
                <w:shd w:val="clear" w:color="auto" w:fill="FFFFFF"/>
                <w:lang w:val="en-US" w:eastAsia="zh-CN"/>
              </w:rPr>
              <w:t>人自行报价，上限为</w:t>
            </w:r>
            <w:r>
              <w:rPr>
                <w:rFonts w:hint="eastAsia" w:ascii="仿宋" w:hAnsi="仿宋" w:eastAsia="仿宋" w:cs="仿宋"/>
                <w:szCs w:val="24"/>
                <w:highlight w:val="none"/>
                <w:shd w:val="clear" w:color="auto" w:fill="FFFFFF"/>
                <w:lang w:val="en-US" w:eastAsia="zh-CN"/>
              </w:rPr>
              <w:t>比选</w:t>
            </w:r>
            <w:r>
              <w:rPr>
                <w:rFonts w:hint="default" w:ascii="仿宋" w:hAnsi="仿宋" w:eastAsia="仿宋" w:cs="仿宋"/>
                <w:szCs w:val="24"/>
                <w:highlight w:val="none"/>
                <w:shd w:val="clear" w:color="auto" w:fill="FFFFFF"/>
                <w:lang w:val="en-US" w:eastAsia="zh-CN"/>
              </w:rPr>
              <w:t xml:space="preserve">控制价，超过上限的报价无效。 </w:t>
            </w:r>
          </w:p>
          <w:p w14:paraId="332E6C32">
            <w:pPr>
              <w:spacing w:line="480" w:lineRule="auto"/>
              <w:ind w:firstLine="480" w:firstLineChars="200"/>
              <w:rPr>
                <w:rFonts w:hint="eastAsia" w:ascii="宋体" w:hAnsi="宋体" w:eastAsia="宋体" w:cs="宋体"/>
                <w:color w:val="FF0000"/>
                <w:sz w:val="21"/>
                <w:szCs w:val="21"/>
                <w:highlight w:val="none"/>
                <w:lang w:eastAsia="zh-CN"/>
              </w:rPr>
            </w:pPr>
            <w:r>
              <w:rPr>
                <w:rFonts w:hint="default" w:ascii="仿宋" w:hAnsi="仿宋" w:eastAsia="仿宋" w:cs="仿宋"/>
                <w:kern w:val="1"/>
                <w:sz w:val="24"/>
                <w:szCs w:val="24"/>
                <w:highlight w:val="none"/>
                <w:shd w:val="clear" w:color="auto" w:fill="FFFFFF"/>
                <w:lang w:val="en-US" w:eastAsia="zh-CN" w:bidi="ar-SA"/>
              </w:rPr>
              <w:t>基准价：</w:t>
            </w:r>
            <w:r>
              <w:rPr>
                <w:rFonts w:hint="eastAsia" w:ascii="仿宋" w:hAnsi="仿宋" w:eastAsia="仿宋" w:cs="仿宋"/>
                <w:kern w:val="1"/>
                <w:sz w:val="24"/>
                <w:szCs w:val="24"/>
                <w:highlight w:val="none"/>
                <w:shd w:val="clear" w:color="auto" w:fill="FFFFFF"/>
                <w:lang w:val="en-US" w:eastAsia="zh-CN" w:bidi="ar-SA"/>
              </w:rPr>
              <w:t>投标报价＜比选控制价*80%的不纳入基准值计算，其余有效投标报价均纳入基准值计算范围；</w:t>
            </w:r>
          </w:p>
          <w:p w14:paraId="140947B6">
            <w:pPr>
              <w:pStyle w:val="3"/>
              <w:numPr>
                <w:ilvl w:val="0"/>
                <w:numId w:val="1"/>
              </w:numPr>
              <w:spacing w:line="360" w:lineRule="auto"/>
              <w:rPr>
                <w:rFonts w:hint="default" w:ascii="仿宋" w:hAnsi="仿宋" w:eastAsia="仿宋" w:cs="仿宋"/>
                <w:szCs w:val="24"/>
                <w:highlight w:val="none"/>
                <w:shd w:val="clear" w:color="auto" w:fill="FFFFFF"/>
                <w:lang w:val="en-US" w:eastAsia="zh-CN"/>
              </w:rPr>
            </w:pPr>
            <w:r>
              <w:rPr>
                <w:rFonts w:hint="eastAsia" w:ascii="仿宋" w:hAnsi="仿宋" w:eastAsia="仿宋" w:cs="仿宋"/>
                <w:szCs w:val="24"/>
                <w:highlight w:val="none"/>
                <w:shd w:val="clear" w:color="auto" w:fill="FFFFFF"/>
                <w:lang w:val="en-US" w:eastAsia="zh-CN"/>
              </w:rPr>
              <w:t>取剩余有效报价的平均值为基准价。</w:t>
            </w:r>
            <w:r>
              <w:rPr>
                <w:rFonts w:hint="default" w:ascii="仿宋" w:hAnsi="仿宋" w:eastAsia="仿宋" w:cs="仿宋"/>
                <w:szCs w:val="24"/>
                <w:highlight w:val="none"/>
                <w:shd w:val="clear" w:color="auto" w:fill="FFFFFF"/>
                <w:lang w:val="en-US" w:eastAsia="zh-CN"/>
              </w:rPr>
              <w:t>计算求得的最终基准价</w:t>
            </w:r>
            <w:r>
              <w:rPr>
                <w:rFonts w:hint="eastAsia" w:ascii="仿宋" w:hAnsi="仿宋" w:eastAsia="仿宋" w:cs="仿宋"/>
                <w:szCs w:val="24"/>
                <w:highlight w:val="none"/>
                <w:shd w:val="clear" w:color="auto" w:fill="FFFFFF"/>
                <w:lang w:val="en-US" w:eastAsia="zh-CN"/>
              </w:rPr>
              <w:t>即为</w:t>
            </w:r>
            <w:r>
              <w:rPr>
                <w:rFonts w:hint="default" w:ascii="仿宋" w:hAnsi="仿宋" w:eastAsia="仿宋" w:cs="仿宋"/>
                <w:szCs w:val="24"/>
                <w:highlight w:val="none"/>
                <w:shd w:val="clear" w:color="auto" w:fill="FFFFFF"/>
                <w:lang w:val="en-US" w:eastAsia="zh-CN"/>
              </w:rPr>
              <w:t>C值。</w:t>
            </w:r>
          </w:p>
          <w:p w14:paraId="4981C3E0">
            <w:pPr>
              <w:pStyle w:val="3"/>
              <w:numPr>
                <w:ilvl w:val="0"/>
                <w:numId w:val="0"/>
              </w:numPr>
              <w:spacing w:line="360" w:lineRule="auto"/>
              <w:rPr>
                <w:rFonts w:hint="default" w:ascii="仿宋" w:hAnsi="仿宋" w:eastAsia="仿宋" w:cs="仿宋"/>
                <w:szCs w:val="24"/>
                <w:highlight w:val="none"/>
                <w:shd w:val="clear" w:color="auto" w:fill="FFFFFF"/>
                <w:lang w:val="en-US" w:eastAsia="zh-CN"/>
              </w:rPr>
            </w:pPr>
            <w:r>
              <w:rPr>
                <w:rFonts w:hint="eastAsia" w:ascii="仿宋" w:hAnsi="仿宋" w:eastAsia="仿宋" w:cs="仿宋"/>
                <w:szCs w:val="24"/>
                <w:highlight w:val="none"/>
                <w:shd w:val="clear" w:color="auto" w:fill="FFFFFF"/>
                <w:lang w:val="en-US" w:eastAsia="zh-CN"/>
              </w:rPr>
              <w:t>2、</w:t>
            </w:r>
            <w:r>
              <w:rPr>
                <w:rFonts w:hint="default" w:ascii="仿宋" w:hAnsi="仿宋" w:eastAsia="仿宋" w:cs="仿宋"/>
                <w:szCs w:val="24"/>
                <w:highlight w:val="none"/>
                <w:shd w:val="clear" w:color="auto" w:fill="FFFFFF"/>
                <w:lang w:val="en-US" w:eastAsia="zh-CN"/>
              </w:rPr>
              <w:t>偏差率=100%×（</w:t>
            </w:r>
            <w:r>
              <w:rPr>
                <w:rFonts w:hint="eastAsia" w:ascii="仿宋" w:hAnsi="仿宋" w:eastAsia="仿宋" w:cs="仿宋"/>
                <w:szCs w:val="24"/>
                <w:highlight w:val="none"/>
                <w:shd w:val="clear" w:color="auto" w:fill="FFFFFF"/>
                <w:lang w:val="en-US" w:eastAsia="zh-CN"/>
              </w:rPr>
              <w:t>报</w:t>
            </w:r>
            <w:r>
              <w:rPr>
                <w:rFonts w:hint="default" w:ascii="仿宋" w:hAnsi="仿宋" w:eastAsia="仿宋" w:cs="仿宋"/>
                <w:szCs w:val="24"/>
                <w:highlight w:val="none"/>
                <w:shd w:val="clear" w:color="auto" w:fill="FFFFFF"/>
                <w:lang w:val="en-US" w:eastAsia="zh-CN"/>
              </w:rPr>
              <w:t>价－基准价）/基准价，偏差率保留2位小数</w:t>
            </w:r>
            <w:r>
              <w:rPr>
                <w:rFonts w:hint="eastAsia" w:ascii="仿宋" w:hAnsi="仿宋" w:eastAsia="仿宋" w:cs="仿宋"/>
                <w:szCs w:val="24"/>
                <w:highlight w:val="none"/>
                <w:shd w:val="clear" w:color="auto" w:fill="FFFFFF"/>
                <w:lang w:val="en-US" w:eastAsia="zh-CN"/>
              </w:rPr>
              <w:t>。</w:t>
            </w:r>
            <w:r>
              <w:rPr>
                <w:rFonts w:hint="default" w:ascii="仿宋" w:hAnsi="仿宋" w:eastAsia="仿宋" w:cs="仿宋"/>
                <w:szCs w:val="24"/>
                <w:highlight w:val="none"/>
                <w:shd w:val="clear" w:color="auto" w:fill="FFFFFF"/>
                <w:lang w:val="en-US" w:eastAsia="zh-CN"/>
              </w:rPr>
              <w:t xml:space="preserve"> </w:t>
            </w:r>
          </w:p>
          <w:p w14:paraId="45B02BD5">
            <w:pPr>
              <w:pStyle w:val="3"/>
              <w:numPr>
                <w:ilvl w:val="0"/>
                <w:numId w:val="0"/>
              </w:numPr>
              <w:spacing w:line="360" w:lineRule="auto"/>
              <w:rPr>
                <w:rFonts w:hint="default" w:ascii="仿宋" w:hAnsi="仿宋" w:eastAsia="仿宋" w:cs="仿宋"/>
                <w:szCs w:val="24"/>
                <w:highlight w:val="none"/>
                <w:shd w:val="clear" w:color="auto" w:fill="FFFFFF"/>
                <w:lang w:val="en-US" w:eastAsia="zh-CN"/>
              </w:rPr>
            </w:pPr>
            <w:r>
              <w:rPr>
                <w:rFonts w:hint="default" w:ascii="仿宋" w:hAnsi="仿宋" w:eastAsia="仿宋" w:cs="仿宋"/>
                <w:szCs w:val="24"/>
                <w:highlight w:val="none"/>
                <w:shd w:val="clear" w:color="auto" w:fill="FFFFFF"/>
                <w:lang w:val="en-US" w:eastAsia="zh-CN"/>
              </w:rPr>
              <w:t>3</w:t>
            </w:r>
            <w:r>
              <w:rPr>
                <w:rFonts w:hint="eastAsia" w:ascii="仿宋" w:hAnsi="仿宋" w:eastAsia="仿宋" w:cs="仿宋"/>
                <w:szCs w:val="24"/>
                <w:highlight w:val="none"/>
                <w:shd w:val="clear" w:color="auto" w:fill="FFFFFF"/>
                <w:lang w:val="en-US" w:eastAsia="zh-CN"/>
              </w:rPr>
              <w:t>、报价</w:t>
            </w:r>
            <w:r>
              <w:rPr>
                <w:rFonts w:hint="default" w:ascii="仿宋" w:hAnsi="仿宋" w:eastAsia="仿宋" w:cs="仿宋"/>
                <w:szCs w:val="24"/>
                <w:highlight w:val="none"/>
                <w:shd w:val="clear" w:color="auto" w:fill="FFFFFF"/>
                <w:lang w:val="en-US" w:eastAsia="zh-CN"/>
              </w:rPr>
              <w:t xml:space="preserve">得分（保留两位小数）计算公式示例： </w:t>
            </w:r>
          </w:p>
          <w:p w14:paraId="334BCAAD">
            <w:pPr>
              <w:pStyle w:val="3"/>
              <w:numPr>
                <w:ilvl w:val="0"/>
                <w:numId w:val="0"/>
              </w:numPr>
              <w:spacing w:line="360" w:lineRule="auto"/>
              <w:rPr>
                <w:rFonts w:hint="default" w:ascii="仿宋" w:hAnsi="仿宋" w:eastAsia="仿宋" w:cs="仿宋"/>
                <w:szCs w:val="24"/>
                <w:highlight w:val="none"/>
                <w:shd w:val="clear" w:color="auto" w:fill="FFFFFF"/>
                <w:lang w:val="en-US" w:eastAsia="zh-CN"/>
              </w:rPr>
            </w:pPr>
            <w:r>
              <w:rPr>
                <w:rFonts w:hint="default" w:ascii="仿宋" w:hAnsi="仿宋" w:eastAsia="仿宋" w:cs="仿宋"/>
                <w:szCs w:val="24"/>
                <w:highlight w:val="none"/>
                <w:shd w:val="clear" w:color="auto" w:fill="FFFFFF"/>
                <w:lang w:val="en-US" w:eastAsia="zh-CN"/>
              </w:rPr>
              <w:t>（1）如果</w:t>
            </w:r>
            <w:r>
              <w:rPr>
                <w:rFonts w:hint="eastAsia" w:ascii="仿宋" w:hAnsi="仿宋" w:eastAsia="仿宋" w:cs="仿宋"/>
                <w:szCs w:val="24"/>
                <w:highlight w:val="none"/>
                <w:shd w:val="clear" w:color="auto" w:fill="FFFFFF"/>
                <w:lang w:val="en-US" w:eastAsia="zh-CN"/>
              </w:rPr>
              <w:t>比选申请</w:t>
            </w:r>
            <w:r>
              <w:rPr>
                <w:rFonts w:hint="default" w:ascii="仿宋" w:hAnsi="仿宋" w:eastAsia="仿宋" w:cs="仿宋"/>
                <w:szCs w:val="24"/>
                <w:highlight w:val="none"/>
                <w:shd w:val="clear" w:color="auto" w:fill="FFFFFF"/>
                <w:lang w:val="en-US" w:eastAsia="zh-CN"/>
              </w:rPr>
              <w:t>人的</w:t>
            </w:r>
            <w:r>
              <w:rPr>
                <w:rFonts w:hint="eastAsia" w:ascii="仿宋" w:hAnsi="仿宋" w:eastAsia="仿宋" w:cs="仿宋"/>
                <w:szCs w:val="24"/>
                <w:highlight w:val="none"/>
                <w:shd w:val="clear" w:color="auto" w:fill="FFFFFF"/>
                <w:lang w:val="en-US" w:eastAsia="zh-CN"/>
              </w:rPr>
              <w:t>报</w:t>
            </w:r>
            <w:r>
              <w:rPr>
                <w:rFonts w:hint="default" w:ascii="仿宋" w:hAnsi="仿宋" w:eastAsia="仿宋" w:cs="仿宋"/>
                <w:szCs w:val="24"/>
                <w:highlight w:val="none"/>
                <w:shd w:val="clear" w:color="auto" w:fill="FFFFFF"/>
                <w:lang w:val="en-US" w:eastAsia="zh-CN"/>
              </w:rPr>
              <w:t>价</w:t>
            </w:r>
            <w:r>
              <w:rPr>
                <w:rFonts w:hint="eastAsia" w:ascii="仿宋" w:hAnsi="仿宋" w:eastAsia="仿宋" w:cs="仿宋"/>
                <w:szCs w:val="24"/>
                <w:highlight w:val="none"/>
                <w:shd w:val="clear" w:color="auto" w:fill="FFFFFF"/>
                <w:lang w:val="en-US" w:eastAsia="zh-CN"/>
              </w:rPr>
              <w:t>≥</w:t>
            </w:r>
            <w:r>
              <w:rPr>
                <w:rFonts w:hint="default" w:ascii="仿宋" w:hAnsi="仿宋" w:eastAsia="仿宋" w:cs="仿宋"/>
                <w:szCs w:val="24"/>
                <w:highlight w:val="none"/>
                <w:shd w:val="clear" w:color="auto" w:fill="FFFFFF"/>
                <w:lang w:val="en-US" w:eastAsia="zh-CN"/>
              </w:rPr>
              <w:t>基准价，则</w:t>
            </w:r>
            <w:r>
              <w:rPr>
                <w:rFonts w:hint="eastAsia" w:ascii="仿宋" w:hAnsi="仿宋" w:eastAsia="仿宋" w:cs="仿宋"/>
                <w:szCs w:val="24"/>
                <w:highlight w:val="none"/>
                <w:shd w:val="clear" w:color="auto" w:fill="FFFFFF"/>
                <w:lang w:val="en-US" w:eastAsia="zh-CN"/>
              </w:rPr>
              <w:t>报</w:t>
            </w:r>
            <w:r>
              <w:rPr>
                <w:rFonts w:hint="default" w:ascii="仿宋" w:hAnsi="仿宋" w:eastAsia="仿宋" w:cs="仿宋"/>
                <w:szCs w:val="24"/>
                <w:highlight w:val="none"/>
                <w:shd w:val="clear" w:color="auto" w:fill="FFFFFF"/>
                <w:lang w:val="en-US" w:eastAsia="zh-CN"/>
              </w:rPr>
              <w:t>价得分=</w:t>
            </w:r>
            <w:r>
              <w:rPr>
                <w:rFonts w:hint="eastAsia" w:ascii="仿宋" w:hAnsi="仿宋" w:eastAsia="仿宋" w:cs="仿宋"/>
                <w:szCs w:val="24"/>
                <w:highlight w:val="none"/>
                <w:shd w:val="clear" w:color="auto" w:fill="FFFFFF"/>
                <w:lang w:val="en-US" w:eastAsia="zh-CN"/>
              </w:rPr>
              <w:t>35</w:t>
            </w:r>
            <w:r>
              <w:rPr>
                <w:rFonts w:hint="default" w:ascii="仿宋" w:hAnsi="仿宋" w:eastAsia="仿宋" w:cs="仿宋"/>
                <w:szCs w:val="24"/>
                <w:highlight w:val="none"/>
                <w:shd w:val="clear" w:color="auto" w:fill="FFFFFF"/>
                <w:lang w:val="en-US" w:eastAsia="zh-CN"/>
              </w:rPr>
              <w:t>－偏差率×100×</w:t>
            </w:r>
            <w:r>
              <w:rPr>
                <w:rFonts w:hint="eastAsia" w:ascii="仿宋" w:hAnsi="仿宋" w:eastAsia="仿宋" w:cs="仿宋"/>
                <w:szCs w:val="24"/>
                <w:highlight w:val="none"/>
                <w:shd w:val="clear" w:color="auto" w:fill="FFFFFF"/>
                <w:lang w:val="en-US" w:eastAsia="zh-CN"/>
              </w:rPr>
              <w:t>0.2</w:t>
            </w:r>
            <w:r>
              <w:rPr>
                <w:rFonts w:hint="default" w:ascii="仿宋" w:hAnsi="仿宋" w:eastAsia="仿宋" w:cs="仿宋"/>
                <w:szCs w:val="24"/>
                <w:highlight w:val="none"/>
                <w:shd w:val="clear" w:color="auto" w:fill="FFFFFF"/>
                <w:lang w:val="en-US" w:eastAsia="zh-CN"/>
              </w:rPr>
              <w:t xml:space="preserve">； </w:t>
            </w:r>
          </w:p>
          <w:p w14:paraId="1B7424F0">
            <w:pPr>
              <w:pStyle w:val="3"/>
              <w:spacing w:line="360" w:lineRule="auto"/>
              <w:rPr>
                <w:rFonts w:hint="eastAsia" w:ascii="仿宋" w:hAnsi="仿宋" w:eastAsia="仿宋" w:cs="仿宋"/>
                <w:szCs w:val="32"/>
                <w:lang w:val="en-US"/>
              </w:rPr>
            </w:pPr>
            <w:r>
              <w:rPr>
                <w:rFonts w:hint="default" w:ascii="仿宋" w:hAnsi="仿宋" w:eastAsia="仿宋" w:cs="仿宋"/>
                <w:szCs w:val="24"/>
                <w:highlight w:val="none"/>
                <w:shd w:val="clear" w:color="auto" w:fill="FFFFFF"/>
                <w:lang w:val="en-US" w:eastAsia="zh-CN"/>
              </w:rPr>
              <w:t>（2）如果</w:t>
            </w:r>
            <w:r>
              <w:rPr>
                <w:rFonts w:hint="eastAsia" w:ascii="仿宋" w:hAnsi="仿宋" w:eastAsia="仿宋" w:cs="仿宋"/>
                <w:szCs w:val="24"/>
                <w:highlight w:val="none"/>
                <w:shd w:val="clear" w:color="auto" w:fill="FFFFFF"/>
                <w:lang w:val="en-US" w:eastAsia="zh-CN"/>
              </w:rPr>
              <w:t>比选申请</w:t>
            </w:r>
            <w:r>
              <w:rPr>
                <w:rFonts w:hint="default" w:ascii="仿宋" w:hAnsi="仿宋" w:eastAsia="仿宋" w:cs="仿宋"/>
                <w:szCs w:val="24"/>
                <w:highlight w:val="none"/>
                <w:shd w:val="clear" w:color="auto" w:fill="FFFFFF"/>
                <w:lang w:val="en-US" w:eastAsia="zh-CN"/>
              </w:rPr>
              <w:t>人的</w:t>
            </w:r>
            <w:r>
              <w:rPr>
                <w:rFonts w:hint="eastAsia" w:ascii="仿宋" w:hAnsi="仿宋" w:eastAsia="仿宋" w:cs="仿宋"/>
                <w:szCs w:val="24"/>
                <w:highlight w:val="none"/>
                <w:shd w:val="clear" w:color="auto" w:fill="FFFFFF"/>
                <w:lang w:val="en-US" w:eastAsia="zh-CN"/>
              </w:rPr>
              <w:t>报</w:t>
            </w:r>
            <w:r>
              <w:rPr>
                <w:rFonts w:hint="default" w:ascii="仿宋" w:hAnsi="仿宋" w:eastAsia="仿宋" w:cs="仿宋"/>
                <w:szCs w:val="24"/>
                <w:highlight w:val="none"/>
                <w:shd w:val="clear" w:color="auto" w:fill="FFFFFF"/>
                <w:lang w:val="en-US" w:eastAsia="zh-CN"/>
              </w:rPr>
              <w:t>价＜基准价，则</w:t>
            </w:r>
            <w:r>
              <w:rPr>
                <w:rFonts w:hint="eastAsia" w:ascii="仿宋" w:hAnsi="仿宋" w:eastAsia="仿宋" w:cs="仿宋"/>
                <w:szCs w:val="24"/>
                <w:highlight w:val="none"/>
                <w:shd w:val="clear" w:color="auto" w:fill="FFFFFF"/>
                <w:lang w:val="en-US" w:eastAsia="zh-CN"/>
              </w:rPr>
              <w:t>报</w:t>
            </w:r>
            <w:r>
              <w:rPr>
                <w:rFonts w:hint="default" w:ascii="仿宋" w:hAnsi="仿宋" w:eastAsia="仿宋" w:cs="仿宋"/>
                <w:szCs w:val="24"/>
                <w:highlight w:val="none"/>
                <w:shd w:val="clear" w:color="auto" w:fill="FFFFFF"/>
                <w:lang w:val="en-US" w:eastAsia="zh-CN"/>
              </w:rPr>
              <w:t>价得分=</w:t>
            </w:r>
            <w:r>
              <w:rPr>
                <w:rFonts w:hint="eastAsia" w:ascii="仿宋" w:hAnsi="仿宋" w:eastAsia="仿宋" w:cs="仿宋"/>
                <w:szCs w:val="24"/>
                <w:highlight w:val="none"/>
                <w:shd w:val="clear" w:color="auto" w:fill="FFFFFF"/>
                <w:lang w:val="en-US" w:eastAsia="zh-CN"/>
              </w:rPr>
              <w:t>35</w:t>
            </w:r>
            <w:r>
              <w:rPr>
                <w:rFonts w:hint="default" w:ascii="仿宋" w:hAnsi="仿宋" w:eastAsia="仿宋" w:cs="仿宋"/>
                <w:szCs w:val="24"/>
                <w:highlight w:val="none"/>
                <w:shd w:val="clear" w:color="auto" w:fill="FFFFFF"/>
                <w:lang w:val="en-US" w:eastAsia="zh-CN"/>
              </w:rPr>
              <w:t>＋偏差率×100×</w:t>
            </w:r>
            <w:r>
              <w:rPr>
                <w:rFonts w:hint="eastAsia" w:ascii="仿宋" w:hAnsi="仿宋" w:eastAsia="仿宋" w:cs="仿宋"/>
                <w:szCs w:val="24"/>
                <w:highlight w:val="none"/>
                <w:shd w:val="clear" w:color="auto" w:fill="FFFFFF"/>
                <w:lang w:val="en-US" w:eastAsia="zh-CN"/>
              </w:rPr>
              <w:t>0.1</w:t>
            </w:r>
          </w:p>
        </w:tc>
      </w:tr>
      <w:tr w14:paraId="7E5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2BE6F4AC">
            <w:pPr>
              <w:spacing w:line="360" w:lineRule="auto"/>
              <w:jc w:val="left"/>
              <w:rPr>
                <w:rFonts w:ascii="仿宋" w:hAnsi="仿宋" w:eastAsia="仿宋" w:cs="仿宋"/>
                <w:kern w:val="1"/>
                <w:sz w:val="24"/>
                <w:szCs w:val="24"/>
                <w:shd w:val="clear" w:color="auto" w:fill="FFFFFF"/>
              </w:rPr>
            </w:pPr>
          </w:p>
        </w:tc>
        <w:tc>
          <w:tcPr>
            <w:tcW w:w="1686" w:type="dxa"/>
            <w:vAlign w:val="center"/>
          </w:tcPr>
          <w:p w14:paraId="5FE5C8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服务方案</w:t>
            </w:r>
          </w:p>
          <w:p w14:paraId="38098962">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6100" w:type="dxa"/>
          </w:tcPr>
          <w:p w14:paraId="0A5A91A1">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1.对项目的认知度，评委进行横向对比评分（0-</w:t>
            </w:r>
            <w:r>
              <w:rPr>
                <w:rFonts w:hint="eastAsia" w:ascii="仿宋" w:hAnsi="仿宋" w:eastAsia="仿宋" w:cs="仿宋"/>
                <w:szCs w:val="24"/>
                <w:shd w:val="clear" w:color="auto" w:fill="FFFFFF"/>
                <w:lang w:val="en-US" w:eastAsia="zh-CN"/>
              </w:rPr>
              <w:t>2</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17F60889">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2招标代理工作的内容、方法，评委进行横向对比评分（0-</w:t>
            </w:r>
            <w:r>
              <w:rPr>
                <w:rFonts w:hint="eastAsia" w:ascii="仿宋" w:hAnsi="仿宋" w:eastAsia="仿宋" w:cs="仿宋"/>
                <w:szCs w:val="24"/>
                <w:shd w:val="clear" w:color="auto" w:fill="FFFFFF"/>
                <w:lang w:val="en-US" w:eastAsia="zh-CN"/>
              </w:rPr>
              <w:t>2</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5A6AB0E3">
            <w:pPr>
              <w:pStyle w:val="3"/>
              <w:spacing w:line="360" w:lineRule="auto"/>
              <w:rPr>
                <w:rFonts w:hint="eastAsia" w:ascii="仿宋" w:hAnsi="仿宋" w:eastAsia="仿宋" w:cs="仿宋"/>
                <w:szCs w:val="32"/>
                <w:lang w:eastAsia="zh-CN"/>
              </w:rPr>
            </w:pPr>
            <w:r>
              <w:rPr>
                <w:rFonts w:hint="eastAsia" w:ascii="仿宋" w:hAnsi="仿宋" w:eastAsia="仿宋" w:cs="仿宋"/>
                <w:szCs w:val="32"/>
                <w:lang w:val="en-US"/>
              </w:rPr>
              <w:t>3.</w:t>
            </w:r>
            <w:r>
              <w:rPr>
                <w:rFonts w:hint="eastAsia" w:ascii="仿宋" w:hAnsi="仿宋" w:eastAsia="仿宋" w:cs="仿宋"/>
                <w:szCs w:val="32"/>
              </w:rPr>
              <w:t>招标代理工作制度，评委进行横向对比评分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2</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1F6D69EE">
            <w:pPr>
              <w:pStyle w:val="3"/>
              <w:spacing w:line="360" w:lineRule="auto"/>
              <w:rPr>
                <w:rFonts w:hint="eastAsia" w:ascii="仿宋" w:hAnsi="仿宋" w:eastAsia="仿宋" w:cs="仿宋"/>
                <w:szCs w:val="32"/>
                <w:lang w:eastAsia="zh-CN"/>
              </w:rPr>
            </w:pPr>
            <w:r>
              <w:rPr>
                <w:rFonts w:hint="eastAsia" w:ascii="仿宋" w:hAnsi="仿宋" w:eastAsia="仿宋" w:cs="仿宋"/>
                <w:szCs w:val="32"/>
                <w:lang w:val="en-US"/>
              </w:rPr>
              <w:t>4.</w:t>
            </w:r>
            <w:r>
              <w:rPr>
                <w:rFonts w:hint="eastAsia" w:ascii="仿宋" w:hAnsi="仿宋" w:eastAsia="仿宋" w:cs="仿宋"/>
                <w:szCs w:val="32"/>
              </w:rPr>
              <w:t>招标代理进度计划，评委进行横向对比评分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2</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59D8D63B">
            <w:pPr>
              <w:pStyle w:val="3"/>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32"/>
                <w:lang w:val="en-US"/>
              </w:rPr>
              <w:t>5.</w:t>
            </w:r>
            <w:r>
              <w:rPr>
                <w:rFonts w:hint="eastAsia" w:ascii="仿宋" w:hAnsi="仿宋" w:eastAsia="仿宋" w:cs="仿宋"/>
                <w:szCs w:val="32"/>
              </w:rPr>
              <w:t>招标代理服务承诺，评委进行横向对比评分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2</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76C50DF0">
            <w:pPr>
              <w:pStyle w:val="3"/>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备注：服务方案若无重大偏差，应至少得70%的分数，如有重大偏差，经评标委员会人员总数2/3以上通过，并经合议后评委可将其按0分处理。</w:t>
            </w:r>
          </w:p>
        </w:tc>
      </w:tr>
    </w:tbl>
    <w:p w14:paraId="5B26FCEE">
      <w:bookmarkStart w:id="0" w:name="_GoBack"/>
      <w:bookmarkEnd w:id="0"/>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41F77"/>
    <w:multiLevelType w:val="singleLevel"/>
    <w:tmpl w:val="18741F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mVjODc0OTVkZjhmZTE1ZTE3M2M5ZTRhMWIwMGMifQ=="/>
    <w:docVar w:name="KSO_WPS_MARK_KEY" w:val="4892671d-309a-4982-acfa-5e26fe8de263"/>
  </w:docVars>
  <w:rsids>
    <w:rsidRoot w:val="12695677"/>
    <w:rsid w:val="00EA40E8"/>
    <w:rsid w:val="060379FA"/>
    <w:rsid w:val="0B8D66E4"/>
    <w:rsid w:val="0F5F5CA1"/>
    <w:rsid w:val="115B06EA"/>
    <w:rsid w:val="12695677"/>
    <w:rsid w:val="151D55BB"/>
    <w:rsid w:val="154717B3"/>
    <w:rsid w:val="185D11EC"/>
    <w:rsid w:val="19742C91"/>
    <w:rsid w:val="1997072D"/>
    <w:rsid w:val="1E0C793C"/>
    <w:rsid w:val="201163AE"/>
    <w:rsid w:val="20E73D48"/>
    <w:rsid w:val="22394A78"/>
    <w:rsid w:val="22A20E20"/>
    <w:rsid w:val="245C2C9F"/>
    <w:rsid w:val="265341BF"/>
    <w:rsid w:val="2BF81500"/>
    <w:rsid w:val="30F524B2"/>
    <w:rsid w:val="310F3573"/>
    <w:rsid w:val="31210BB1"/>
    <w:rsid w:val="323B5CA2"/>
    <w:rsid w:val="35C054CD"/>
    <w:rsid w:val="38B545E2"/>
    <w:rsid w:val="3A655FB2"/>
    <w:rsid w:val="3CD45671"/>
    <w:rsid w:val="3D536596"/>
    <w:rsid w:val="3F013A4E"/>
    <w:rsid w:val="40263E71"/>
    <w:rsid w:val="4B6D116B"/>
    <w:rsid w:val="4CAD5597"/>
    <w:rsid w:val="4D227D33"/>
    <w:rsid w:val="4D261B47"/>
    <w:rsid w:val="511A58F1"/>
    <w:rsid w:val="52447CCC"/>
    <w:rsid w:val="5E602469"/>
    <w:rsid w:val="5F4F411F"/>
    <w:rsid w:val="5FA6034F"/>
    <w:rsid w:val="5FCF3D4A"/>
    <w:rsid w:val="644C4093"/>
    <w:rsid w:val="65F8742B"/>
    <w:rsid w:val="666C41A1"/>
    <w:rsid w:val="69D32689"/>
    <w:rsid w:val="6A8B74AC"/>
    <w:rsid w:val="6CAB169B"/>
    <w:rsid w:val="6D6F4B97"/>
    <w:rsid w:val="6E511DCE"/>
    <w:rsid w:val="6ED94165"/>
    <w:rsid w:val="73726A6F"/>
    <w:rsid w:val="74085625"/>
    <w:rsid w:val="74D177C5"/>
    <w:rsid w:val="76F37EC6"/>
    <w:rsid w:val="7B3867F0"/>
    <w:rsid w:val="7BD302C6"/>
    <w:rsid w:val="7D0B583E"/>
    <w:rsid w:val="7D160888"/>
    <w:rsid w:val="7F705372"/>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szCs w:val="20"/>
    </w:rPr>
  </w:style>
  <w:style w:type="paragraph" w:styleId="3">
    <w:name w:val="Body Text 3"/>
    <w:basedOn w:val="1"/>
    <w:qFormat/>
    <w:uiPriority w:val="0"/>
    <w:rPr>
      <w:rFonts w:ascii="宋体" w:hAnsi="宋体"/>
      <w:kern w:val="1"/>
      <w:sz w:val="24"/>
      <w:szCs w:val="20"/>
      <w:lang w:val="zh-CN"/>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1914</Words>
  <Characters>2016</Characters>
  <Lines>0</Lines>
  <Paragraphs>0</Paragraphs>
  <TotalTime>24</TotalTime>
  <ScaleCrop>false</ScaleCrop>
  <LinksUpToDate>false</LinksUpToDate>
  <CharactersWithSpaces>2181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2024-01-23T09:36:00Z</dcterms:created>
  <dc:creator>刘钦志</dc:creator>
  <cp:lastModifiedBy>忘却</cp:lastModifiedBy>
  <cp:lastPrinted>2026-01-20T07:43:00Z</cp:lastPrinted>
  <dcterms:modified xsi:type="dcterms:W3CDTF">2026-06-18T01:39:39Z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7D3511CA4D7D4E359DCAA44533EB970C_13</vt:lpwstr>
  </property>
  <property fmtid="{D5CDD505-2E9C-101B-9397-08002B2CF9AE}" pid="4" name="KSOTemplateDocerSaveRecord">
    <vt:lpwstr>eyJoZGlkIjoiMzQ4ZDcxZTFiZTdlY2RiYzE2ZWYzY2Y4YjJlYWMwMDYiLCJ1c2VySWQiOiIzMzkxMTgwMzEifQ==</vt:lpwstr>
  </property>
</Properties>
</file>